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106" w:rsidRDefault="00591106" w:rsidP="00591106">
      <w:pPr>
        <w:shd w:val="clear" w:color="auto" w:fill="FFFFFF"/>
        <w:spacing w:before="100" w:beforeAutospacing="1" w:after="100" w:afterAutospacing="1" w:line="240" w:lineRule="auto"/>
        <w:jc w:val="center"/>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GESELLSCHAFTSVERTRAG PIRO GAMING OG</w:t>
      </w:r>
    </w:p>
    <w:p w:rsidR="00591106" w:rsidRDefault="00591106" w:rsidP="00591106">
      <w:pPr>
        <w:shd w:val="clear" w:color="auto" w:fill="FFFFFF"/>
        <w:spacing w:before="100" w:beforeAutospacing="1" w:after="100" w:afterAutospacing="1" w:line="240" w:lineRule="auto"/>
        <w:jc w:val="center"/>
        <w:rPr>
          <w:rFonts w:ascii="Arial" w:eastAsia="Times New Roman" w:hAnsi="Arial" w:cs="Arial"/>
          <w:color w:val="000000"/>
          <w:sz w:val="24"/>
          <w:szCs w:val="24"/>
          <w:lang w:eastAsia="de-AT"/>
        </w:rPr>
      </w:pPr>
    </w:p>
    <w:p w:rsid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Gesellschafter</w:t>
      </w:r>
      <w:r>
        <w:rPr>
          <w:rFonts w:ascii="Arial" w:eastAsia="Times New Roman" w:hAnsi="Arial" w:cs="Arial"/>
          <w:color w:val="000000"/>
          <w:sz w:val="24"/>
          <w:szCs w:val="24"/>
          <w:lang w:eastAsia="de-AT"/>
        </w:rPr>
        <w:t>:</w:t>
      </w:r>
    </w:p>
    <w:p w:rsidR="00591106" w:rsidRDefault="00591106" w:rsidP="00591106">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 xml:space="preserve">DI Thomas Pilz, 28.01.1978, </w:t>
      </w:r>
      <w:proofErr w:type="spellStart"/>
      <w:r>
        <w:rPr>
          <w:rFonts w:ascii="Arial" w:eastAsia="Times New Roman" w:hAnsi="Arial" w:cs="Arial"/>
          <w:color w:val="000000"/>
          <w:sz w:val="24"/>
          <w:szCs w:val="24"/>
          <w:lang w:eastAsia="de-AT"/>
        </w:rPr>
        <w:t>Ennsweg</w:t>
      </w:r>
      <w:proofErr w:type="spellEnd"/>
      <w:r>
        <w:rPr>
          <w:rFonts w:ascii="Arial" w:eastAsia="Times New Roman" w:hAnsi="Arial" w:cs="Arial"/>
          <w:color w:val="000000"/>
          <w:sz w:val="24"/>
          <w:szCs w:val="24"/>
          <w:lang w:eastAsia="de-AT"/>
        </w:rPr>
        <w:t xml:space="preserve"> 126, 8892 Schladming-</w:t>
      </w:r>
      <w:proofErr w:type="spellStart"/>
      <w:r>
        <w:rPr>
          <w:rFonts w:ascii="Arial" w:eastAsia="Times New Roman" w:hAnsi="Arial" w:cs="Arial"/>
          <w:color w:val="000000"/>
          <w:sz w:val="24"/>
          <w:szCs w:val="24"/>
          <w:lang w:eastAsia="de-AT"/>
        </w:rPr>
        <w:t>Rohrmoos</w:t>
      </w:r>
      <w:proofErr w:type="spellEnd"/>
    </w:p>
    <w:p w:rsidR="00591106" w:rsidRDefault="00591106" w:rsidP="00591106">
      <w:pPr>
        <w:shd w:val="clear" w:color="auto" w:fill="FFFFFF"/>
        <w:spacing w:before="100" w:beforeAutospacing="1" w:after="100" w:afterAutospacing="1" w:line="240" w:lineRule="auto"/>
        <w:ind w:left="720"/>
        <w:rPr>
          <w:rFonts w:ascii="Arial" w:eastAsia="Times New Roman" w:hAnsi="Arial" w:cs="Arial"/>
          <w:color w:val="000000"/>
          <w:sz w:val="24"/>
          <w:szCs w:val="24"/>
          <w:lang w:val="en-US" w:eastAsia="de-AT"/>
        </w:rPr>
      </w:pPr>
      <w:r w:rsidRPr="00591106">
        <w:rPr>
          <w:rFonts w:ascii="Arial" w:eastAsia="Times New Roman" w:hAnsi="Arial" w:cs="Arial"/>
          <w:color w:val="000000"/>
          <w:sz w:val="24"/>
          <w:szCs w:val="24"/>
          <w:lang w:val="en-US" w:eastAsia="de-AT"/>
        </w:rPr>
        <w:t xml:space="preserve">Mag. Claudia Robineau, 05.07.1975, </w:t>
      </w:r>
      <w:proofErr w:type="spellStart"/>
      <w:r w:rsidRPr="00591106">
        <w:rPr>
          <w:rFonts w:ascii="Arial" w:eastAsia="Times New Roman" w:hAnsi="Arial" w:cs="Arial"/>
          <w:color w:val="000000"/>
          <w:sz w:val="24"/>
          <w:szCs w:val="24"/>
          <w:lang w:val="en-US" w:eastAsia="de-AT"/>
        </w:rPr>
        <w:t>Kimmersdorferstrasse</w:t>
      </w:r>
      <w:proofErr w:type="spellEnd"/>
      <w:r w:rsidRPr="00591106">
        <w:rPr>
          <w:rFonts w:ascii="Arial" w:eastAsia="Times New Roman" w:hAnsi="Arial" w:cs="Arial"/>
          <w:color w:val="000000"/>
          <w:sz w:val="24"/>
          <w:szCs w:val="24"/>
          <w:lang w:val="en-US" w:eastAsia="de-AT"/>
        </w:rPr>
        <w:t xml:space="preserve"> 44, 4502 St. </w:t>
      </w:r>
      <w:proofErr w:type="spellStart"/>
      <w:r w:rsidRPr="00591106">
        <w:rPr>
          <w:rFonts w:ascii="Arial" w:eastAsia="Times New Roman" w:hAnsi="Arial" w:cs="Arial"/>
          <w:color w:val="000000"/>
          <w:sz w:val="24"/>
          <w:szCs w:val="24"/>
          <w:lang w:val="en-US" w:eastAsia="de-AT"/>
        </w:rPr>
        <w:t>Marien</w:t>
      </w:r>
      <w:proofErr w:type="spellEnd"/>
    </w:p>
    <w:p w:rsidR="00AE1960" w:rsidRPr="00591106" w:rsidRDefault="00AE1960" w:rsidP="00591106">
      <w:pPr>
        <w:shd w:val="clear" w:color="auto" w:fill="FFFFFF"/>
        <w:spacing w:before="100" w:beforeAutospacing="1" w:after="100" w:afterAutospacing="1" w:line="240" w:lineRule="auto"/>
        <w:ind w:left="720"/>
        <w:rPr>
          <w:rFonts w:ascii="Arial" w:eastAsia="Times New Roman" w:hAnsi="Arial" w:cs="Arial"/>
          <w:color w:val="000000"/>
          <w:sz w:val="24"/>
          <w:szCs w:val="24"/>
          <w:lang w:val="en-US" w:eastAsia="de-AT"/>
        </w:rPr>
      </w:pPr>
    </w:p>
    <w:p w:rsid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Firma:</w:t>
      </w:r>
    </w:p>
    <w:p w:rsidR="00591106" w:rsidRDefault="00591106" w:rsidP="00591106">
      <w:pPr>
        <w:pStyle w:val="Listenabsatz"/>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PIRO Gaming OG</w:t>
      </w:r>
    </w:p>
    <w:p w:rsidR="00AE1960" w:rsidRDefault="00AE1960" w:rsidP="00591106">
      <w:pPr>
        <w:pStyle w:val="Listenabsatz"/>
        <w:rPr>
          <w:rFonts w:ascii="Arial" w:eastAsia="Times New Roman" w:hAnsi="Arial" w:cs="Arial"/>
          <w:color w:val="000000"/>
          <w:sz w:val="24"/>
          <w:szCs w:val="24"/>
          <w:lang w:eastAsia="de-AT"/>
        </w:rPr>
      </w:pPr>
    </w:p>
    <w:p w:rsidR="00591106" w:rsidRDefault="00AE1960"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 xml:space="preserve">Sitz </w:t>
      </w:r>
      <w:r w:rsidR="00591106" w:rsidRPr="00591106">
        <w:rPr>
          <w:rFonts w:ascii="Arial" w:eastAsia="Times New Roman" w:hAnsi="Arial" w:cs="Arial"/>
          <w:color w:val="000000"/>
          <w:sz w:val="24"/>
          <w:szCs w:val="24"/>
          <w:lang w:eastAsia="de-AT"/>
        </w:rPr>
        <w:t>der Gesellschaft</w:t>
      </w:r>
      <w:r>
        <w:rPr>
          <w:rFonts w:ascii="Arial" w:eastAsia="Times New Roman" w:hAnsi="Arial" w:cs="Arial"/>
          <w:color w:val="000000"/>
          <w:sz w:val="24"/>
          <w:szCs w:val="24"/>
          <w:lang w:eastAsia="de-AT"/>
        </w:rPr>
        <w:t xml:space="preserve">: </w:t>
      </w:r>
      <w:proofErr w:type="gramStart"/>
      <w:r>
        <w:rPr>
          <w:rFonts w:ascii="Arial" w:eastAsia="Times New Roman" w:hAnsi="Arial" w:cs="Arial"/>
          <w:color w:val="000000"/>
          <w:sz w:val="24"/>
          <w:szCs w:val="24"/>
          <w:lang w:eastAsia="de-AT"/>
        </w:rPr>
        <w:t>Hauptplatz ,</w:t>
      </w:r>
      <w:proofErr w:type="gramEnd"/>
      <w:r>
        <w:rPr>
          <w:rFonts w:ascii="Arial" w:eastAsia="Times New Roman" w:hAnsi="Arial" w:cs="Arial"/>
          <w:color w:val="000000"/>
          <w:sz w:val="24"/>
          <w:szCs w:val="24"/>
          <w:lang w:eastAsia="de-AT"/>
        </w:rPr>
        <w:t xml:space="preserve"> 8892 Schladming-</w:t>
      </w:r>
      <w:proofErr w:type="spellStart"/>
      <w:r>
        <w:rPr>
          <w:rFonts w:ascii="Arial" w:eastAsia="Times New Roman" w:hAnsi="Arial" w:cs="Arial"/>
          <w:color w:val="000000"/>
          <w:sz w:val="24"/>
          <w:szCs w:val="24"/>
          <w:lang w:eastAsia="de-AT"/>
        </w:rPr>
        <w:t>Rohrmoos</w:t>
      </w:r>
      <w:proofErr w:type="spellEnd"/>
    </w:p>
    <w:p w:rsidR="00591106" w:rsidRPr="00591106" w:rsidRDefault="00591106"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p>
    <w:p w:rsid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Gegenstand des Unternehmens</w:t>
      </w:r>
      <w:r w:rsidR="00AE1960">
        <w:rPr>
          <w:rFonts w:ascii="Arial" w:eastAsia="Times New Roman" w:hAnsi="Arial" w:cs="Arial"/>
          <w:color w:val="000000"/>
          <w:sz w:val="24"/>
          <w:szCs w:val="24"/>
          <w:lang w:eastAsia="de-AT"/>
        </w:rPr>
        <w:t>:</w:t>
      </w:r>
    </w:p>
    <w:p w:rsidR="00AE1960" w:rsidRDefault="00AE1960" w:rsidP="00AE1960">
      <w:pPr>
        <w:pStyle w:val="Listenabsatz"/>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 xml:space="preserve">Virtual Reality Gaming Anbieter für die Tourismus-Region Schladming, sowie Computer Gaming (Playstation, Nintendo, etc.) </w:t>
      </w:r>
    </w:p>
    <w:p w:rsidR="00AE1960" w:rsidRDefault="00AE1960" w:rsidP="00AE1960">
      <w:pPr>
        <w:pStyle w:val="Listenabsatz"/>
        <w:rPr>
          <w:rFonts w:ascii="Arial" w:eastAsia="Times New Roman" w:hAnsi="Arial" w:cs="Arial"/>
          <w:color w:val="000000"/>
          <w:sz w:val="24"/>
          <w:szCs w:val="24"/>
          <w:lang w:eastAsia="de-AT"/>
        </w:rPr>
      </w:pPr>
    </w:p>
    <w:p w:rsidR="00AE1960"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Beginn und Dauer der Gesellschaft:</w:t>
      </w:r>
    </w:p>
    <w:p w:rsidR="00AE1960" w:rsidRDefault="00AE1960"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Beginn: 01.06.2024</w:t>
      </w:r>
    </w:p>
    <w:p w:rsidR="00AE1960" w:rsidRDefault="00AE1960"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 xml:space="preserve">Dauer: unbestimmt </w:t>
      </w:r>
    </w:p>
    <w:p w:rsidR="00AE1960" w:rsidRDefault="00AE1960"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p>
    <w:p w:rsidR="00591106" w:rsidRDefault="00591106" w:rsidP="00EA42DC">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Geschäftsjahr</w:t>
      </w:r>
      <w:r w:rsidR="00AE1960">
        <w:rPr>
          <w:rFonts w:ascii="Arial" w:eastAsia="Times New Roman" w:hAnsi="Arial" w:cs="Arial"/>
          <w:color w:val="000000"/>
          <w:sz w:val="24"/>
          <w:szCs w:val="24"/>
          <w:lang w:eastAsia="de-AT"/>
        </w:rPr>
        <w:t xml:space="preserve">: </w:t>
      </w:r>
      <w:r w:rsidRPr="00591106">
        <w:rPr>
          <w:rFonts w:ascii="Arial" w:eastAsia="Times New Roman" w:hAnsi="Arial" w:cs="Arial"/>
          <w:color w:val="000000"/>
          <w:sz w:val="24"/>
          <w:szCs w:val="24"/>
          <w:lang w:eastAsia="de-AT"/>
        </w:rPr>
        <w:t xml:space="preserve">Entspricht Kalenderjahr; </w:t>
      </w:r>
    </w:p>
    <w:p w:rsidR="00591106" w:rsidRDefault="00591106"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p>
    <w:p w:rsidR="00AE1960" w:rsidRDefault="00591106" w:rsidP="00EA42DC">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Festlegung der von den Gesellschaftern zu leistenden Einlagen:</w:t>
      </w:r>
    </w:p>
    <w:p w:rsidR="00AE1960" w:rsidRDefault="00AE1960" w:rsidP="00AE1960">
      <w:pPr>
        <w:pStyle w:val="Listenabsatz"/>
        <w:rPr>
          <w:rFonts w:ascii="Arial" w:eastAsia="Times New Roman" w:hAnsi="Arial" w:cs="Arial"/>
          <w:color w:val="000000"/>
          <w:sz w:val="24"/>
          <w:szCs w:val="24"/>
          <w:lang w:eastAsia="de-AT"/>
        </w:rPr>
      </w:pPr>
    </w:p>
    <w:p w:rsidR="00591106" w:rsidRPr="00591106" w:rsidRDefault="00591106"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 Diese können Bar- oder Sacheinlagen bzw. die Einbringung der Arbeitskraft sein.</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Beteiligung: Die Beteiligung an der Gesellschaft bestimmt sich nach dem Verhältnis des Wertes der vereinbarten Einlagen (Kapitalanteil). Sollte auch der bloße Arbeitsgesellschafter am Gesellschaftsvermögen beteiligt sein, so soll dies im Gesellschaftsvertrag geregelt werden.</w:t>
      </w:r>
    </w:p>
    <w:p w:rsidR="00AE1960"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lastRenderedPageBreak/>
        <w:t>Übertragung von Geschäftsanteilen</w:t>
      </w:r>
      <w:r w:rsidR="00AE1960">
        <w:rPr>
          <w:rFonts w:ascii="Arial" w:eastAsia="Times New Roman" w:hAnsi="Arial" w:cs="Arial"/>
          <w:color w:val="000000"/>
          <w:sz w:val="24"/>
          <w:szCs w:val="24"/>
          <w:lang w:eastAsia="de-AT"/>
        </w:rPr>
        <w:t xml:space="preserve">: </w:t>
      </w:r>
    </w:p>
    <w:p w:rsidR="00591106" w:rsidRPr="00591106" w:rsidRDefault="00AE1960"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r>
        <w:rPr>
          <w:rFonts w:ascii="Arial" w:eastAsia="Times New Roman" w:hAnsi="Arial" w:cs="Arial"/>
          <w:color w:val="000000"/>
          <w:sz w:val="24"/>
          <w:szCs w:val="24"/>
          <w:lang w:eastAsia="de-AT"/>
        </w:rPr>
        <w:t>die</w:t>
      </w:r>
      <w:r w:rsidR="00591106" w:rsidRPr="00591106">
        <w:rPr>
          <w:rFonts w:ascii="Arial" w:eastAsia="Times New Roman" w:hAnsi="Arial" w:cs="Arial"/>
          <w:color w:val="000000"/>
          <w:sz w:val="24"/>
          <w:szCs w:val="24"/>
          <w:lang w:eastAsia="de-AT"/>
        </w:rPr>
        <w:t xml:space="preserve"> Geschäftsanteile (die Mitgliedschaft) </w:t>
      </w:r>
      <w:r>
        <w:rPr>
          <w:rFonts w:ascii="Arial" w:eastAsia="Times New Roman" w:hAnsi="Arial" w:cs="Arial"/>
          <w:color w:val="000000"/>
          <w:sz w:val="24"/>
          <w:szCs w:val="24"/>
          <w:lang w:eastAsia="de-AT"/>
        </w:rPr>
        <w:t xml:space="preserve">der PIRO Gaming OG sind nur durch Zustimmung beider Gesellschafter übertragbar oder </w:t>
      </w:r>
      <w:proofErr w:type="spellStart"/>
      <w:r>
        <w:rPr>
          <w:rFonts w:ascii="Arial" w:eastAsia="Times New Roman" w:hAnsi="Arial" w:cs="Arial"/>
          <w:color w:val="000000"/>
          <w:sz w:val="24"/>
          <w:szCs w:val="24"/>
          <w:lang w:eastAsia="de-AT"/>
        </w:rPr>
        <w:t>veräusserbar</w:t>
      </w:r>
      <w:proofErr w:type="spellEnd"/>
      <w:r>
        <w:rPr>
          <w:rFonts w:ascii="Arial" w:eastAsia="Times New Roman" w:hAnsi="Arial" w:cs="Arial"/>
          <w:color w:val="000000"/>
          <w:sz w:val="24"/>
          <w:szCs w:val="24"/>
          <w:lang w:eastAsia="de-AT"/>
        </w:rPr>
        <w:t>.</w:t>
      </w:r>
    </w:p>
    <w:p w:rsidR="00AE1960" w:rsidRDefault="00591106" w:rsidP="006D0014">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AE1960">
        <w:rPr>
          <w:rFonts w:ascii="Arial" w:eastAsia="Times New Roman" w:hAnsi="Arial" w:cs="Arial"/>
          <w:color w:val="000000"/>
          <w:sz w:val="24"/>
          <w:szCs w:val="24"/>
          <w:lang w:eastAsia="de-AT"/>
        </w:rPr>
        <w:t>Geschäftsführung</w:t>
      </w:r>
      <w:r w:rsidRPr="00591106">
        <w:rPr>
          <w:rFonts w:ascii="Arial" w:eastAsia="Times New Roman" w:hAnsi="Arial" w:cs="Arial"/>
          <w:color w:val="000000"/>
          <w:sz w:val="24"/>
          <w:szCs w:val="24"/>
          <w:lang w:eastAsia="de-AT"/>
        </w:rPr>
        <w:t>:</w:t>
      </w:r>
      <w:r w:rsidR="00AE1960" w:rsidRPr="00AE1960">
        <w:rPr>
          <w:rFonts w:ascii="Arial" w:eastAsia="Times New Roman" w:hAnsi="Arial" w:cs="Arial"/>
          <w:color w:val="000000"/>
          <w:sz w:val="24"/>
          <w:szCs w:val="24"/>
          <w:lang w:eastAsia="de-AT"/>
        </w:rPr>
        <w:t xml:space="preserve"> </w:t>
      </w:r>
      <w:r w:rsidRPr="00591106">
        <w:rPr>
          <w:rFonts w:ascii="Arial" w:eastAsia="Times New Roman" w:hAnsi="Arial" w:cs="Arial"/>
          <w:color w:val="000000"/>
          <w:sz w:val="24"/>
          <w:szCs w:val="24"/>
          <w:lang w:eastAsia="de-AT"/>
        </w:rPr>
        <w:t>Jeder Gesellschafter ist für sich allein geschäftsführungsbefugt. Für außergewöhnliche Maßnahmen</w:t>
      </w:r>
      <w:r w:rsidR="00AE1960">
        <w:rPr>
          <w:rFonts w:ascii="Arial" w:eastAsia="Times New Roman" w:hAnsi="Arial" w:cs="Arial"/>
          <w:color w:val="000000"/>
          <w:sz w:val="24"/>
          <w:szCs w:val="24"/>
          <w:lang w:eastAsia="de-AT"/>
        </w:rPr>
        <w:t xml:space="preserve"> ab</w:t>
      </w:r>
      <w:bookmarkStart w:id="0" w:name="_GoBack"/>
      <w:bookmarkEnd w:id="0"/>
      <w:r w:rsidR="00AE1960" w:rsidRPr="00AE1960">
        <w:rPr>
          <w:rFonts w:ascii="Arial" w:eastAsia="Times New Roman" w:hAnsi="Arial" w:cs="Arial"/>
          <w:color w:val="000000"/>
          <w:sz w:val="24"/>
          <w:szCs w:val="24"/>
          <w:lang w:eastAsia="de-AT"/>
        </w:rPr>
        <w:t xml:space="preserve"> </w:t>
      </w:r>
      <w:proofErr w:type="gramStart"/>
      <w:r w:rsidR="00AE1960" w:rsidRPr="00AE1960">
        <w:rPr>
          <w:rFonts w:ascii="Arial" w:eastAsia="Times New Roman" w:hAnsi="Arial" w:cs="Arial"/>
          <w:color w:val="000000"/>
          <w:sz w:val="24"/>
          <w:szCs w:val="24"/>
          <w:lang w:eastAsia="de-AT"/>
        </w:rPr>
        <w:t>einem Ausgabe</w:t>
      </w:r>
      <w:proofErr w:type="gramEnd"/>
      <w:r w:rsidR="00AE1960" w:rsidRPr="00AE1960">
        <w:rPr>
          <w:rFonts w:ascii="Arial" w:eastAsia="Times New Roman" w:hAnsi="Arial" w:cs="Arial"/>
          <w:color w:val="000000"/>
          <w:sz w:val="24"/>
          <w:szCs w:val="24"/>
          <w:lang w:eastAsia="de-AT"/>
        </w:rPr>
        <w:t xml:space="preserve"> – Einkaufsvolumen von über 5000€</w:t>
      </w:r>
      <w:r w:rsidRPr="00591106">
        <w:rPr>
          <w:rFonts w:ascii="Arial" w:eastAsia="Times New Roman" w:hAnsi="Arial" w:cs="Arial"/>
          <w:color w:val="000000"/>
          <w:sz w:val="24"/>
          <w:szCs w:val="24"/>
          <w:lang w:eastAsia="de-AT"/>
        </w:rPr>
        <w:t xml:space="preserve"> ist ein einstimmiger Gesellschafterbeschluss erforderlich. </w:t>
      </w:r>
    </w:p>
    <w:p w:rsidR="00AE1960" w:rsidRPr="00591106" w:rsidRDefault="00AE1960" w:rsidP="00AE1960">
      <w:pPr>
        <w:shd w:val="clear" w:color="auto" w:fill="FFFFFF"/>
        <w:spacing w:before="100" w:beforeAutospacing="1" w:after="100" w:afterAutospacing="1" w:line="240" w:lineRule="auto"/>
        <w:ind w:left="720"/>
        <w:rPr>
          <w:rFonts w:ascii="Arial" w:eastAsia="Times New Roman" w:hAnsi="Arial" w:cs="Arial"/>
          <w:color w:val="000000"/>
          <w:sz w:val="24"/>
          <w:szCs w:val="24"/>
          <w:lang w:eastAsia="de-AT"/>
        </w:rPr>
      </w:pP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Vertretung: Vertretungsbefugt sind alle Gesellschafter und zwar jeder für sich allein. Im Gesellschaftsvertrag können einzelne Gesellschafter von der Vertretung ausgeschlossen oder anstelle der Einzelvertretung eine Gesamtvertretung vereinbart werden. Solche Regelungen sind im </w:t>
      </w:r>
      <w:hyperlink r:id="rId5" w:tgtFrame="_blank" w:history="1">
        <w:r w:rsidRPr="00591106">
          <w:rPr>
            <w:rFonts w:ascii="Arial" w:eastAsia="Times New Roman" w:hAnsi="Arial" w:cs="Arial"/>
            <w:color w:val="3D3F8C"/>
            <w:sz w:val="24"/>
            <w:szCs w:val="24"/>
            <w:u w:val="single"/>
            <w:lang w:eastAsia="de-AT"/>
          </w:rPr>
          <w:t>Firmenbuch</w:t>
        </w:r>
      </w:hyperlink>
      <w:r w:rsidRPr="00591106">
        <w:rPr>
          <w:rFonts w:ascii="Arial" w:eastAsia="Times New Roman" w:hAnsi="Arial" w:cs="Arial"/>
          <w:color w:val="000000"/>
          <w:sz w:val="24"/>
          <w:szCs w:val="24"/>
          <w:lang w:eastAsia="de-AT"/>
        </w:rPr>
        <w:t> einzutragen.</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 xml:space="preserve">Gesellschafterbeschlüsse: In diesem Punkt sollte geregelt werden, mit welcher Mehrheit Beschlüsse gefasst werden. Mangels vertraglicher Regelung sieht das Gesetz Einstimmigkeit vor. Insbesondere kann festgelegt werden, für welche Geschäfte ein Beschluss mit entsprechend qualifizierter Mehrheit oder Einstimmigkeit des Gesellschaftskapitales erforderlich ist (z.B. Änderung des Geschäftsgegenstandes; Erwerb, Belastung oder Veräußerung von Liegenschaften; Eingehen von Dienstverhältnissen; Investitionen, die eine bestimmte Höhe überschreiten etc.). </w:t>
      </w:r>
      <w:proofErr w:type="spellStart"/>
      <w:r w:rsidRPr="00591106">
        <w:rPr>
          <w:rFonts w:ascii="Arial" w:eastAsia="Times New Roman" w:hAnsi="Arial" w:cs="Arial"/>
          <w:color w:val="000000"/>
          <w:sz w:val="24"/>
          <w:szCs w:val="24"/>
          <w:lang w:eastAsia="de-AT"/>
        </w:rPr>
        <w:t>Weiters</w:t>
      </w:r>
      <w:proofErr w:type="spellEnd"/>
      <w:r w:rsidRPr="00591106">
        <w:rPr>
          <w:rFonts w:ascii="Arial" w:eastAsia="Times New Roman" w:hAnsi="Arial" w:cs="Arial"/>
          <w:color w:val="000000"/>
          <w:sz w:val="24"/>
          <w:szCs w:val="24"/>
          <w:lang w:eastAsia="de-AT"/>
        </w:rPr>
        <w:t xml:space="preserve"> sollte geregelt werden, ob die Mehrheit nach den Beteiligungen oder nach Köpfen zu berechnen ist.</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Gewinn- und Verlustverteilung: Der Jahresabschluss bildet die Grundlage der Gewinn- bzw. Verlustverteilung. Mangels einer vertraglichen Vereinbarung regelt das Gesetz die Gewinn- und Verlustverteilung. Demnach gebührt jedem Arbeitsgesellschafter vom Jahresgewinn ein den Umständen entsprechender angemessener Betrag. Sollte der Gesellschaftsvertrag nicht ausdrücklich anderes bestimmen, wird der restliche Gewinn – wie auch ein Verlust - den Gesellschaftern im Verhältnis ihrer Beteiligung zugewiesen. Der Anspruch auf Auszahlung des Gewinnanteiles besteht jedoch dann nicht, wenn die Auszahlung der OG einen Schaden zufügen würde, wenn die Gesellschafter anderes beschließen oder wenn der betreffende Gesellschafter vereinbarungswidrig seine Einlage nicht geleistet hat.</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Kündigung durch einen Gesellschafter: Festlegung des Kündigungstermins (gesetzlich zum Ende des Kalenderjahres) und der Kündigungsfrist (gesetzlich 6 Monate). Diese gesetzlichen Fristen sind jedoch nicht zwingend und können im Gesellschaftsvertrag abweichend geregelt werden. </w:t>
      </w:r>
      <w:proofErr w:type="spellStart"/>
      <w:r w:rsidRPr="00591106">
        <w:rPr>
          <w:rFonts w:ascii="Arial" w:eastAsia="Times New Roman" w:hAnsi="Arial" w:cs="Arial"/>
          <w:color w:val="000000"/>
          <w:sz w:val="24"/>
          <w:szCs w:val="24"/>
          <w:lang w:eastAsia="de-AT"/>
        </w:rPr>
        <w:t>Weiters</w:t>
      </w:r>
      <w:proofErr w:type="spellEnd"/>
      <w:r w:rsidRPr="00591106">
        <w:rPr>
          <w:rFonts w:ascii="Arial" w:eastAsia="Times New Roman" w:hAnsi="Arial" w:cs="Arial"/>
          <w:color w:val="000000"/>
          <w:sz w:val="24"/>
          <w:szCs w:val="24"/>
          <w:lang w:eastAsia="de-AT"/>
        </w:rPr>
        <w:t xml:space="preserve"> sollte geregelt werden, dass die Kündigung nicht zur Auflösung der Gesellschaft, sondern zum Ausscheiden des kündigenden Gesellschafters führt. Der ausscheidende Gesellschafter ist dann unter Zugrundelegung einer Bilanz, die zum Stichtag des Ausscheidens aufzustellen ist, abzufinden. Geregelt werden sollte ferner, wie das Auseinandersetzungsguthaben berechnet und bewertet wird. Ebenso sollte die Fälligkeit, die Höhe der Verzinsung und etwaige Ratenzahlungen geregelt werden.</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Auflösung der Gesellschaft: In diesem Punkt können Auflösungsgründe festgelegt werden bzw. Regelungen darüber getroffen werden, was im Fall des Konkurses über das Vermögen eines Gesellschafters oder der Gesellschaft bzw. für den Fall der Nichteröffnung des Konkurses mangels Masse zu geschehen hat.</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 xml:space="preserve">Tod eines Gesellschafters: Ohne Regelung im Gesellschaftsvertrag führt der Tod eines Gesellschafters zur Auflösung der Gesellschaft. Der Gesellschaftsvertrag könnte daher eine Fortsetzung der Gesellschaft mit den übrigen Gesellschaftern, eine </w:t>
      </w:r>
      <w:r w:rsidRPr="00591106">
        <w:rPr>
          <w:rFonts w:ascii="Arial" w:eastAsia="Times New Roman" w:hAnsi="Arial" w:cs="Arial"/>
          <w:color w:val="000000"/>
          <w:sz w:val="24"/>
          <w:szCs w:val="24"/>
          <w:lang w:eastAsia="de-AT"/>
        </w:rPr>
        <w:lastRenderedPageBreak/>
        <w:t>Fortsetzung mit allen oder einem bestimmten Erben entweder als unbeschränkt haftendem Gesellschafter oder auch als Kommanditist vorsehen. Nach dem Geschlecht differenzierende Nachfolgeregelungen sind in Gesellschaftsverträgen grundsätzlich unzulässig.</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Wettbewerbsverbot: Ohne ausdrückliche Einwilligung der übrigen Gesellschafter, darf sich ein Gesellschafter nicht im Geschäftszweig der Gesellschaft betätigen bzw. an einer anderen gleichartigen Gesellschaft als unbeschränkt haftender Gesellschafter beteiligen. Sollte anderes gewünscht sein, ist das ausdrücklich vertraglich zu regeln.</w:t>
      </w:r>
    </w:p>
    <w:p w:rsidR="00591106" w:rsidRPr="00591106" w:rsidRDefault="00591106" w:rsidP="00591106">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de-AT"/>
        </w:rPr>
      </w:pPr>
      <w:r w:rsidRPr="00591106">
        <w:rPr>
          <w:rFonts w:ascii="Arial" w:eastAsia="Times New Roman" w:hAnsi="Arial" w:cs="Arial"/>
          <w:color w:val="000000"/>
          <w:sz w:val="24"/>
          <w:szCs w:val="24"/>
          <w:lang w:eastAsia="de-AT"/>
        </w:rPr>
        <w:t>Allgemeine Vertragsbestimmungen: Gerichtsstandvereinbarung; subsidiäre Anwendung einschlägiger gesetzlicher Bestimmungen, Kostentragung für Rechtsgeschäftsgebühren, Firmenbuchgebühren, Anzahl der Vertragsausfertigungen.</w:t>
      </w:r>
    </w:p>
    <w:p w:rsidR="00026668" w:rsidRDefault="00AE1960"/>
    <w:sectPr w:rsidR="00026668" w:rsidSect="00591106">
      <w:pgSz w:w="11906" w:h="16838"/>
      <w:pgMar w:top="1417" w:right="991"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B7A83"/>
    <w:multiLevelType w:val="multilevel"/>
    <w:tmpl w:val="ABC06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106"/>
    <w:rsid w:val="00022A68"/>
    <w:rsid w:val="00591106"/>
    <w:rsid w:val="00AE1960"/>
    <w:rsid w:val="00E30C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7283E"/>
  <w15:chartTrackingRefBased/>
  <w15:docId w15:val="{A6BF8F7E-78FC-41B0-9B12-6463BE78D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91106"/>
    <w:rPr>
      <w:b/>
      <w:bCs/>
    </w:rPr>
  </w:style>
  <w:style w:type="character" w:styleId="Hyperlink">
    <w:name w:val="Hyperlink"/>
    <w:basedOn w:val="Absatz-Standardschriftart"/>
    <w:uiPriority w:val="99"/>
    <w:semiHidden/>
    <w:unhideWhenUsed/>
    <w:rsid w:val="00591106"/>
    <w:rPr>
      <w:color w:val="0000FF"/>
      <w:u w:val="single"/>
    </w:rPr>
  </w:style>
  <w:style w:type="paragraph" w:styleId="Listenabsatz">
    <w:name w:val="List Paragraph"/>
    <w:basedOn w:val="Standard"/>
    <w:uiPriority w:val="34"/>
    <w:qFormat/>
    <w:rsid w:val="005911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3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ko.at/service/wirtschaftsrecht-gewerberecht/Das_Firmenbuch.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729</Words>
  <Characters>4593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Robineau Claudia</cp:lastModifiedBy>
  <cp:revision>1</cp:revision>
  <dcterms:created xsi:type="dcterms:W3CDTF">2024-03-19T10:44:00Z</dcterms:created>
  <dcterms:modified xsi:type="dcterms:W3CDTF">2024-03-19T11:01:00Z</dcterms:modified>
</cp:coreProperties>
</file>